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7AB" w:rsidRDefault="00BF573E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19685</wp:posOffset>
            </wp:positionV>
            <wp:extent cx="612140" cy="760730"/>
            <wp:effectExtent l="19050" t="0" r="0" b="0"/>
            <wp:wrapNone/>
            <wp:docPr id="2" name="Рисунок 3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57AB">
        <w:rPr>
          <w:rFonts w:ascii="Arial" w:hAnsi="Arial" w:cs="Arial"/>
          <w:sz w:val="24"/>
          <w:szCs w:val="24"/>
        </w:rPr>
        <w:t xml:space="preserve">           </w:t>
      </w:r>
      <w:r w:rsidR="007657AB">
        <w:rPr>
          <w:rFonts w:ascii="Arial" w:hAnsi="Arial" w:cs="Arial"/>
          <w:b/>
          <w:i/>
          <w:sz w:val="24"/>
          <w:szCs w:val="24"/>
        </w:rPr>
        <w:t xml:space="preserve">             </w:t>
      </w:r>
    </w:p>
    <w:p w:rsidR="007657AB" w:rsidRDefault="007657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7657AB" w:rsidRDefault="007657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7657AB" w:rsidRDefault="007657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657AB" w:rsidRDefault="007657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7657AB" w:rsidRDefault="007657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B2451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17.11.2025</w:t>
      </w:r>
      <w:r w:rsidR="007657AB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556-п</w:t>
      </w:r>
      <w:r w:rsidR="007657AB"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7657AB">
        <w:rPr>
          <w:rFonts w:ascii="Arial" w:hAnsi="Arial" w:cs="Arial"/>
          <w:sz w:val="24"/>
          <w:szCs w:val="24"/>
        </w:rPr>
        <w:t xml:space="preserve">                             Тайгинский городской округ</w:t>
      </w:r>
    </w:p>
    <w:p w:rsidR="007657AB" w:rsidRDefault="007657AB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7657AB" w:rsidRDefault="007657AB">
      <w:pPr>
        <w:pStyle w:val="ConsPlusTitle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Об утверждении основных направлений </w:t>
      </w:r>
    </w:p>
    <w:p w:rsidR="007657AB" w:rsidRDefault="007657AB">
      <w:pPr>
        <w:pStyle w:val="ConsPlusTitle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долговой политики Тайгинского городского округа</w:t>
      </w:r>
    </w:p>
    <w:p w:rsidR="007657AB" w:rsidRDefault="007657AB">
      <w:pPr>
        <w:pStyle w:val="ConsPlusTitle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на 2026 год и плановый период 2027 и 2028 годов</w:t>
      </w:r>
    </w:p>
    <w:p w:rsidR="007657AB" w:rsidRDefault="007657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7657A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13 статьи 107.1 Бюджетного кодекса Российской Федерации и в целях реализации ответственной долговой политики Тайгинского городского округа и повышения ее эффективности администрация Тайгинского городского округа постановляет:</w:t>
      </w:r>
    </w:p>
    <w:p w:rsidR="007657AB" w:rsidRDefault="007657AB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прилагаемые основные направления долговой политики Тайгинского городского округа на 2026 год и плановый период 2027 и 2028 годов.</w:t>
      </w:r>
    </w:p>
    <w:p w:rsidR="007657AB" w:rsidRDefault="007657AB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Постановление администрации Тайгинского городского округа от 14.11.2024 № 836-п «Об утверждении основных направлений долговой политики Тайгинского городского округа на 2025 год и плановый период 2026 и 2027 годов» признать утратившим силу.</w:t>
      </w:r>
    </w:p>
    <w:p w:rsidR="007657AB" w:rsidRDefault="007657AB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разместить на официальном сайте администрации Тайгинского городского округа в информационно-телекоммуникационной сети «Интернет», опубликовать в газете «Тайгинский рабочий».</w:t>
      </w:r>
    </w:p>
    <w:p w:rsidR="007657AB" w:rsidRDefault="007657AB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Контроль за исполнением настоящего постановления возложить на начальника финансового управления администрации Тайгинского городского округа (В.С. Бахтина).</w:t>
      </w:r>
    </w:p>
    <w:p w:rsidR="007657AB" w:rsidRDefault="007657AB">
      <w:pPr>
        <w:pStyle w:val="ConsPlusNormal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color w:val="000000"/>
          <w:sz w:val="24"/>
          <w:szCs w:val="24"/>
        </w:rPr>
        <w:t>Настоящее постановление вступает в силу с момента его подписания.</w:t>
      </w:r>
    </w:p>
    <w:p w:rsidR="007657AB" w:rsidRDefault="007657AB">
      <w:pPr>
        <w:tabs>
          <w:tab w:val="left" w:pos="2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2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2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2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657AB" w:rsidRDefault="007657AB" w:rsidP="000B4E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Тайгинского</w:t>
      </w:r>
      <w:r w:rsidR="000B4E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городского округа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М.Е. Теремецкий</w:t>
      </w:r>
    </w:p>
    <w:p w:rsidR="007657AB" w:rsidRDefault="007657A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</w:p>
    <w:p w:rsidR="007657AB" w:rsidRDefault="007657AB">
      <w:pPr>
        <w:pStyle w:val="ConsPlusNormal"/>
        <w:jc w:val="right"/>
        <w:rPr>
          <w:sz w:val="24"/>
          <w:szCs w:val="24"/>
        </w:rPr>
      </w:pPr>
    </w:p>
    <w:p w:rsidR="007657AB" w:rsidRDefault="007657AB">
      <w:pPr>
        <w:pStyle w:val="ConsPlusNormal"/>
        <w:jc w:val="right"/>
        <w:rPr>
          <w:sz w:val="24"/>
          <w:szCs w:val="24"/>
        </w:rPr>
      </w:pPr>
    </w:p>
    <w:p w:rsidR="007657AB" w:rsidRDefault="007657AB">
      <w:pPr>
        <w:pStyle w:val="ConsPlusNormal"/>
        <w:jc w:val="right"/>
        <w:rPr>
          <w:sz w:val="24"/>
          <w:szCs w:val="24"/>
        </w:rPr>
      </w:pPr>
    </w:p>
    <w:p w:rsidR="000B4EBA" w:rsidRDefault="000B4EBA">
      <w:pPr>
        <w:pStyle w:val="ConsPlusNormal"/>
        <w:jc w:val="right"/>
        <w:rPr>
          <w:sz w:val="24"/>
          <w:szCs w:val="24"/>
        </w:rPr>
      </w:pPr>
    </w:p>
    <w:p w:rsidR="007657AB" w:rsidRDefault="007657AB">
      <w:pPr>
        <w:pStyle w:val="ConsPlusNormal"/>
        <w:jc w:val="right"/>
        <w:rPr>
          <w:sz w:val="24"/>
          <w:szCs w:val="24"/>
        </w:rPr>
      </w:pPr>
    </w:p>
    <w:p w:rsidR="007657AB" w:rsidRDefault="007657A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7657AB" w:rsidRDefault="007657A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постановлением администрации</w:t>
      </w:r>
    </w:p>
    <w:p w:rsidR="007657AB" w:rsidRDefault="007657A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Тайгинского городского округа</w:t>
      </w:r>
    </w:p>
    <w:p w:rsidR="007657AB" w:rsidRDefault="00B2451D" w:rsidP="00B2451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17.11.2025 № 556-п</w:t>
      </w:r>
    </w:p>
    <w:p w:rsidR="00B2451D" w:rsidRDefault="00B2451D" w:rsidP="00B2451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657AB" w:rsidRDefault="007657A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Основные направления долговой политики</w:t>
      </w:r>
    </w:p>
    <w:p w:rsidR="007657AB" w:rsidRDefault="007657A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7657AB" w:rsidRDefault="007657A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2026 год и плановый период 2027 и 2028 годов</w:t>
      </w:r>
    </w:p>
    <w:p w:rsidR="007657AB" w:rsidRDefault="007657A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657AB" w:rsidRDefault="007657AB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Общие положения</w:t>
      </w:r>
    </w:p>
    <w:p w:rsidR="007657AB" w:rsidRDefault="007657AB">
      <w:pPr>
        <w:spacing w:after="0" w:line="240" w:lineRule="auto"/>
        <w:ind w:left="709"/>
        <w:rPr>
          <w:rFonts w:ascii="Arial" w:hAnsi="Arial" w:cs="Arial"/>
          <w:sz w:val="24"/>
          <w:szCs w:val="24"/>
        </w:rPr>
      </w:pPr>
    </w:p>
    <w:p w:rsidR="007657AB" w:rsidRDefault="007657A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Долговая политика Тайгинского городского округа (далее – долговая политика) является частью бюджетной политики, непосредственно связана с бюджетным процессом в Тайгинском городском округе и способствует решению задач, стоящих перед Тайгинским городским округом. Долговая политика определяет основные задачи и приоритеты деятельности администрации Тайгинского городского округа в сфере управления муниципальным долгом.</w:t>
      </w:r>
    </w:p>
    <w:p w:rsidR="007657AB" w:rsidRDefault="007657A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Долговая политика заключается в реализации комплекса мер, направленных на обеспечение потребностей публично-правового образования в заемном финансировании (далее – заимствования), своевременное и полное исполнение обязательств по погашению и обслуживанию муниципального долга Тайгинского городского округа (далее – муниципальный долг), минимизацию расходов на обслуживание муниципального долга, поддержание объема и структуры долговых обязательств, исключающих их неисполнение.</w:t>
      </w:r>
    </w:p>
    <w:p w:rsidR="007657AB" w:rsidRDefault="007657A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Долговая политика реализуется с учетом плана мероприятий по росту доходов, оптимизации расходов и совершенствованию долговой политики, утвержденным постановлением администрации Тайгинского городского округа от 22.04.2025 № 242-п «Об утверждении Программы финансового оздоровления Тайгинского городского округа на 2025-2028 годы».</w:t>
      </w:r>
    </w:p>
    <w:p w:rsidR="007657AB" w:rsidRDefault="007657A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Долговая политика направлена на:</w:t>
      </w:r>
    </w:p>
    <w:p w:rsidR="007657AB" w:rsidRDefault="007657AB">
      <w:pPr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обеспечение финансирования дефицита бюджета Тайгинского городского округа (далее – бюджета);</w:t>
      </w:r>
    </w:p>
    <w:p w:rsidR="007657AB" w:rsidRDefault="007657AB">
      <w:pPr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своевременное и полное исполнение долговых обязательств бюджета;</w:t>
      </w:r>
    </w:p>
    <w:p w:rsidR="007657AB" w:rsidRDefault="007657AB">
      <w:pPr>
        <w:numPr>
          <w:ilvl w:val="0"/>
          <w:numId w:val="2"/>
        </w:numPr>
        <w:tabs>
          <w:tab w:val="left" w:pos="142"/>
        </w:tabs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обеспечение уровня расходов на обслуживание муниципального долга в пределах, установленных бюджетным законодательством Российской Федерации;</w:t>
      </w:r>
    </w:p>
    <w:p w:rsidR="007657AB" w:rsidRDefault="007657AB">
      <w:pPr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минимизацию стоимости обслуживания муниципального долга;</w:t>
      </w:r>
    </w:p>
    <w:p w:rsidR="007657AB" w:rsidRDefault="007657AB">
      <w:pPr>
        <w:suppressAutoHyphens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57AB" w:rsidRDefault="007657AB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Итоги реализации долговой политики Тайгинского городского округа</w:t>
      </w:r>
    </w:p>
    <w:p w:rsidR="007657AB" w:rsidRDefault="007657AB">
      <w:pPr>
        <w:suppressAutoHyphens/>
        <w:spacing w:after="0" w:line="240" w:lineRule="auto"/>
        <w:ind w:left="709"/>
        <w:rPr>
          <w:rFonts w:ascii="Arial" w:hAnsi="Arial" w:cs="Arial"/>
          <w:sz w:val="24"/>
          <w:szCs w:val="24"/>
        </w:rPr>
      </w:pPr>
    </w:p>
    <w:p w:rsidR="007657AB" w:rsidRDefault="007657AB">
      <w:pPr>
        <w:suppressAutoHyphens/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За период 2021-2024 годы исполнение бюджета Тайгинского округа позволило сохранить объем муниципального долга на безопасном уровне. 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об основных показателях состояния муниципального долга Тайгинского городского округа за 2021–2024 годы приведена в таблицах 1 и 2.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Объем и структура муниципального долга Тайгинского городского округа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Таблица 1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402"/>
        <w:gridCol w:w="1311"/>
        <w:gridCol w:w="1311"/>
        <w:gridCol w:w="1311"/>
        <w:gridCol w:w="1312"/>
      </w:tblGrid>
      <w:tr w:rsidR="007657AB">
        <w:tc>
          <w:tcPr>
            <w:tcW w:w="85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Вид долгового обязательства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1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2024 год</w:t>
            </w:r>
          </w:p>
        </w:tc>
      </w:tr>
      <w:tr w:rsidR="007657AB">
        <w:tc>
          <w:tcPr>
            <w:tcW w:w="85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</w:tr>
      <w:tr w:rsidR="007657AB">
        <w:tc>
          <w:tcPr>
            <w:tcW w:w="85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7657AB">
        <w:tc>
          <w:tcPr>
            <w:tcW w:w="85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Муниципальные гарантии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7657AB">
        <w:tc>
          <w:tcPr>
            <w:tcW w:w="85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1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</w:tr>
    </w:tbl>
    <w:p w:rsidR="007657AB" w:rsidRDefault="007657AB">
      <w:pPr>
        <w:tabs>
          <w:tab w:val="left" w:pos="709"/>
          <w:tab w:val="left" w:pos="2694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Динамика муниципального долга Тайгинского городского округа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2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1"/>
        <w:gridCol w:w="3402"/>
        <w:gridCol w:w="1315"/>
        <w:gridCol w:w="1316"/>
        <w:gridCol w:w="1316"/>
        <w:gridCol w:w="1316"/>
      </w:tblGrid>
      <w:tr w:rsidR="007657AB">
        <w:tc>
          <w:tcPr>
            <w:tcW w:w="851" w:type="dxa"/>
          </w:tcPr>
          <w:p w:rsidR="007657AB" w:rsidRDefault="007657A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15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316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316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16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2024 год</w:t>
            </w:r>
          </w:p>
        </w:tc>
      </w:tr>
      <w:tr w:rsidR="007657AB">
        <w:tblPrEx>
          <w:tblBorders>
            <w:bottom w:val="single" w:sz="4" w:space="0" w:color="auto"/>
          </w:tblBorders>
        </w:tblPrEx>
        <w:tc>
          <w:tcPr>
            <w:tcW w:w="851" w:type="dxa"/>
          </w:tcPr>
          <w:p w:rsidR="007657AB" w:rsidRDefault="007657AB">
            <w:pPr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Объем муниципального долга</w:t>
            </w:r>
          </w:p>
        </w:tc>
        <w:tc>
          <w:tcPr>
            <w:tcW w:w="1315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14 800,0</w:t>
            </w:r>
          </w:p>
        </w:tc>
      </w:tr>
      <w:tr w:rsidR="007657AB">
        <w:tblPrEx>
          <w:tblBorders>
            <w:bottom w:val="single" w:sz="4" w:space="0" w:color="auto"/>
          </w:tblBorders>
        </w:tblPrEx>
        <w:tc>
          <w:tcPr>
            <w:tcW w:w="851" w:type="dxa"/>
          </w:tcPr>
          <w:p w:rsidR="007657AB" w:rsidRDefault="007657AB">
            <w:pPr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Прирост муниципального долга</w:t>
            </w:r>
          </w:p>
        </w:tc>
        <w:tc>
          <w:tcPr>
            <w:tcW w:w="1315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+5 500,0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7657AB">
        <w:tblPrEx>
          <w:tblBorders>
            <w:bottom w:val="single" w:sz="4" w:space="0" w:color="auto"/>
          </w:tblBorders>
        </w:tblPrEx>
        <w:tc>
          <w:tcPr>
            <w:tcW w:w="851" w:type="dxa"/>
          </w:tcPr>
          <w:p w:rsidR="007657AB" w:rsidRDefault="007657AB">
            <w:pPr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Темпы роста муниципального долга</w:t>
            </w:r>
          </w:p>
        </w:tc>
        <w:tc>
          <w:tcPr>
            <w:tcW w:w="1315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+59,1%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0,0%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0,0%</w:t>
            </w:r>
          </w:p>
        </w:tc>
      </w:tr>
      <w:tr w:rsidR="007657AB">
        <w:tblPrEx>
          <w:tblBorders>
            <w:bottom w:val="single" w:sz="4" w:space="0" w:color="auto"/>
          </w:tblBorders>
        </w:tblPrEx>
        <w:tc>
          <w:tcPr>
            <w:tcW w:w="851" w:type="dxa"/>
          </w:tcPr>
          <w:p w:rsidR="007657AB" w:rsidRDefault="007657AB">
            <w:pPr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Долговая нагрузка (отношение объема муниципального долга к объему доходов без учета безвозмездных поступлений)</w:t>
            </w:r>
          </w:p>
        </w:tc>
        <w:tc>
          <w:tcPr>
            <w:tcW w:w="1315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5,9%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6,3%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5,4%</w:t>
            </w:r>
          </w:p>
        </w:tc>
        <w:tc>
          <w:tcPr>
            <w:tcW w:w="1316" w:type="dxa"/>
            <w:vAlign w:val="center"/>
          </w:tcPr>
          <w:p w:rsidR="007657AB" w:rsidRDefault="007657AB">
            <w:pPr>
              <w:tabs>
                <w:tab w:val="left" w:pos="709"/>
                <w:tab w:val="left" w:pos="2694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5,4%</w:t>
            </w:r>
          </w:p>
        </w:tc>
      </w:tr>
    </w:tbl>
    <w:p w:rsidR="007657AB" w:rsidRDefault="007657AB">
      <w:pPr>
        <w:suppressAutoHyphens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57AB" w:rsidRDefault="007657AB">
      <w:pPr>
        <w:suppressAutoHyphens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Муниципальный долг в 2021 году состоял на 100% из кредитов кредитных организаций. В 2022 году кредит кредитной организации был рефинансирован за счет бюджетного кредита. Погашение данного бюджетного кредита, в соответствии с условиями договора, планируется произвести в период с 2026 по 2028 год в сумме 12 646,7 тыс. рублей в год. В 2027 году запланировано рефинансирование кредита кредитной организации на сумму 8 700,0 тыс. рублей.</w:t>
      </w:r>
    </w:p>
    <w:p w:rsidR="007657AB" w:rsidRDefault="007657AB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Основные факторы, определяющие характер</w:t>
      </w:r>
    </w:p>
    <w:p w:rsidR="007657AB" w:rsidRDefault="007657AB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и направления долговой политики </w:t>
      </w:r>
    </w:p>
    <w:p w:rsidR="007657AB" w:rsidRDefault="007657AB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</w:p>
    <w:p w:rsidR="007657AB" w:rsidRDefault="0076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Долговая политика в 2026–2028 годах будет направлена на безусловное выполнение обязательств Тайгинского городского округа, соблюдение норм и ограничений, установленных Бюджетным кодексом Российской Федерации, и нацелена на поддержание долговой нагрузки на бюджет Тайгинского городского </w:t>
      </w:r>
      <w:r>
        <w:rPr>
          <w:rFonts w:ascii="Arial" w:hAnsi="Arial" w:cs="Arial"/>
          <w:sz w:val="24"/>
          <w:szCs w:val="24"/>
        </w:rPr>
        <w:lastRenderedPageBreak/>
        <w:t>округа на уровне, относящем Тайгинский городской округ к муниципальным образованиям с высокой долговой устойчивостью.</w:t>
      </w:r>
    </w:p>
    <w:p w:rsidR="007657AB" w:rsidRDefault="0076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Долговая политика будет направлена на эффективное управление муниципальным долгом, предполагающее снижение уровня долговой нагрузки на бюджет Тайгинского городского округа.</w:t>
      </w:r>
    </w:p>
    <w:p w:rsidR="007657AB" w:rsidRDefault="0076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7657AB" w:rsidRDefault="007657AB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Цели и задачи долговой политики </w:t>
      </w:r>
    </w:p>
    <w:p w:rsidR="007657AB" w:rsidRDefault="007657AB">
      <w:pPr>
        <w:spacing w:after="0" w:line="240" w:lineRule="auto"/>
        <w:ind w:left="720"/>
        <w:rPr>
          <w:rFonts w:ascii="Arial" w:hAnsi="Arial" w:cs="Arial"/>
          <w:bCs/>
          <w:iCs/>
          <w:sz w:val="24"/>
          <w:szCs w:val="24"/>
        </w:rPr>
      </w:pPr>
    </w:p>
    <w:p w:rsidR="007657AB" w:rsidRDefault="007657AB">
      <w:pPr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2026–2028 годах </w:t>
      </w:r>
      <w:r>
        <w:rPr>
          <w:rFonts w:ascii="Arial" w:hAnsi="Arial" w:cs="Arial"/>
          <w:iCs/>
          <w:sz w:val="24"/>
          <w:szCs w:val="24"/>
        </w:rPr>
        <w:t xml:space="preserve">целью долговой политики является сохранение финансовой устойчивости и сбалансированности бюджета Тайгинского городского округа. Привлечение заемных средств, привлекаемых в целях финансирования дефицита бюджета, в очередном финансовом году и плановом периоде не предусматриваются. 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Целями долговой политики на среднесрочный период являются:</w:t>
      </w:r>
    </w:p>
    <w:p w:rsidR="007657AB" w:rsidRDefault="007657AB">
      <w:pPr>
        <w:numPr>
          <w:ilvl w:val="0"/>
          <w:numId w:val="3"/>
        </w:num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сохранение объема муниципального долга Тайгинского городского округа на безопасном уровне и </w:t>
      </w:r>
      <w:r>
        <w:rPr>
          <w:rFonts w:ascii="Arial" w:eastAsia="Calibri" w:hAnsi="Arial" w:cs="Arial"/>
          <w:sz w:val="24"/>
          <w:szCs w:val="24"/>
          <w:lang w:eastAsia="en-US"/>
        </w:rPr>
        <w:t>обеспечение доли общего объема долговых обязательств не более 25% доходов бюджета Тайгинского городского округа без учета безвозмездных поступлений;</w:t>
      </w:r>
    </w:p>
    <w:p w:rsidR="007657AB" w:rsidRDefault="007657AB">
      <w:pPr>
        <w:numPr>
          <w:ilvl w:val="0"/>
          <w:numId w:val="3"/>
        </w:num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равномерное распределение долговой нагрузки по годам;</w:t>
      </w:r>
    </w:p>
    <w:p w:rsidR="007657AB" w:rsidRDefault="007657AB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обеспечение сохранения дефицита бюджета Тайгинского городского округа на уровне не более 5% от суммы доходов бюджета без учета безвозмездных поступлений;</w:t>
      </w:r>
    </w:p>
    <w:p w:rsidR="007657AB" w:rsidRDefault="007657AB">
      <w:pPr>
        <w:numPr>
          <w:ilvl w:val="0"/>
          <w:numId w:val="3"/>
        </w:num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безусловное выполнение долговых обязательств;</w:t>
      </w:r>
    </w:p>
    <w:p w:rsidR="007657AB" w:rsidRDefault="007657AB">
      <w:pPr>
        <w:numPr>
          <w:ilvl w:val="0"/>
          <w:numId w:val="3"/>
        </w:num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соблюдение ограничений, установленных Бюджетным </w:t>
      </w:r>
      <w:hyperlink r:id="rId6" w:history="1">
        <w:r>
          <w:rPr>
            <w:rFonts w:ascii="Arial" w:hAnsi="Arial" w:cs="Arial"/>
            <w:sz w:val="24"/>
            <w:szCs w:val="24"/>
          </w:rPr>
          <w:t>кодексом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7657AB" w:rsidRDefault="007657AB">
      <w:pPr>
        <w:tabs>
          <w:tab w:val="left" w:pos="709"/>
          <w:tab w:val="left" w:pos="2694"/>
        </w:tabs>
        <w:spacing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Для достижения поставленных целей необходимо решить следующие задачи:</w:t>
      </w:r>
    </w:p>
    <w:p w:rsidR="007657AB" w:rsidRDefault="007657AB">
      <w:pPr>
        <w:numPr>
          <w:ilvl w:val="0"/>
          <w:numId w:val="3"/>
        </w:num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поддержание умеренной долговой нагрузки на бюджет Тайгинского городского округа;</w:t>
      </w:r>
    </w:p>
    <w:p w:rsidR="007657AB" w:rsidRDefault="007657AB">
      <w:pPr>
        <w:numPr>
          <w:ilvl w:val="0"/>
          <w:numId w:val="3"/>
        </w:num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равномерное распределение платежей по долговым обязательствам по годам; </w:t>
      </w:r>
    </w:p>
    <w:p w:rsidR="007657AB" w:rsidRDefault="007657AB">
      <w:pPr>
        <w:numPr>
          <w:ilvl w:val="0"/>
          <w:numId w:val="3"/>
        </w:num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обеспечение доступности информации о муниципальном долге.</w:t>
      </w:r>
    </w:p>
    <w:p w:rsidR="007657AB" w:rsidRDefault="007657AB">
      <w:pPr>
        <w:tabs>
          <w:tab w:val="left" w:pos="709"/>
          <w:tab w:val="left" w:pos="2694"/>
        </w:tabs>
        <w:spacing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7657AB" w:rsidRDefault="007657AB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Инструменты реализации долговой политики 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left="720"/>
        <w:rPr>
          <w:rFonts w:ascii="Arial" w:hAnsi="Arial" w:cs="Arial"/>
          <w:bCs/>
          <w:iCs/>
          <w:sz w:val="24"/>
          <w:szCs w:val="24"/>
        </w:rPr>
      </w:pP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ab/>
        <w:t>Основными инструментами реализации долговой политики являются: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направление налоговых и неналоговых доходов, полученных в ходе исполнения бюджета Тайгинского городского округа сверх утвержденного решением о бюджете Тайгинского городского округа на очередной финансовый год и плановый период объема указанных доходов, на досрочное погашение долговых обязательств;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принятие решений, о привлечении заимствованных средств исходя из фактического исполнения бюджета Тайгинского городского округа, потребности в привлечении заемных средств и ситуации на финансовом рынке;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1% годовых;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использование механизма привлечения краткосрочных бюджетных кредитов на пополнение остатков средств на счете бюджета; 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продление моратория на предоставление муниципальных гарантий по обязательствам третьих лиц;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обеспечение своевременного и полного учета долговых обязательств.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7657AB" w:rsidRDefault="007657AB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Анализ рисков для бюджета, возникающих в процессе </w:t>
      </w:r>
    </w:p>
    <w:p w:rsidR="007657AB" w:rsidRDefault="007657AB">
      <w:pPr>
        <w:tabs>
          <w:tab w:val="left" w:pos="709"/>
          <w:tab w:val="left" w:pos="2694"/>
        </w:tabs>
        <w:spacing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управления муниципальным долгом Тайгинского городского округа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К основным рискам, возникающим в процессе управления муниципальным долгом и влияющим на эффективность долговой политики в среднесрочном периоде являются: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риск ухудшения макроэкономической ситуации, в том числе высокая инфляция, снижение темпов экономического роста и, как следствие, снижение доступности заемных средств и рост стоимости заимствований;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риск изменения налогового законодательства Российской Федерации, в том числе пересмотр распределения доходных источников между бюджетами бюджетной системы Российской Федерации;</w:t>
      </w:r>
    </w:p>
    <w:p w:rsidR="007657AB" w:rsidRDefault="007657AB">
      <w:pPr>
        <w:tabs>
          <w:tab w:val="left" w:pos="709"/>
          <w:tab w:val="left" w:pos="2694"/>
        </w:tabs>
        <w:spacing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риск недостаточного поступления доходов в бюджет Тайгинского городского округа вследствие снижения налоговой базы по основным доходным источникам бюджета Тайгинского городского округа и отсутствие в бюджете Тайгинского городского округа средств для полного и своевременного исполнения обязательств.</w:t>
      </w:r>
    </w:p>
    <w:p w:rsidR="007657AB" w:rsidRDefault="007657AB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Дополнительные меры, способствующие эффективной</w:t>
      </w:r>
    </w:p>
    <w:p w:rsidR="007657AB" w:rsidRDefault="007657AB">
      <w:pPr>
        <w:tabs>
          <w:tab w:val="left" w:pos="709"/>
          <w:tab w:val="left" w:pos="2694"/>
        </w:tabs>
        <w:spacing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реализации долговой политики 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Эффективной реализации долговой политики в 2026 году и плановом периоде 2027 и 2028 годов будут способствовать:</w:t>
      </w:r>
    </w:p>
    <w:p w:rsidR="007657AB" w:rsidRDefault="007657AB">
      <w:pPr>
        <w:tabs>
          <w:tab w:val="left" w:pos="709"/>
          <w:tab w:val="left" w:pos="2694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реализация плана мероприятий по оздоровлению муниципальных финансов, включая мероприятия, направленные на рост доходов, оптимизацию расходов, а также сокращение муниципального долга Тайгинского городского округа, ежегодно утверждаемого администрацией Тайгинского городского округа;</w:t>
      </w:r>
    </w:p>
    <w:p w:rsidR="007657AB" w:rsidRDefault="007657AB">
      <w:pPr>
        <w:tabs>
          <w:tab w:val="left" w:pos="709"/>
          <w:tab w:val="left" w:pos="2694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выполнение целевых показателей, предусмотренных подпрограммой «Управление муниципальным долгом Тайгинского городского округа» муниципальной программы Тайгинского городского округа «Управление муниципальными финансами» на 2026 год и плановый период 2027 - 2028 годов.</w:t>
      </w:r>
    </w:p>
    <w:p w:rsidR="007657AB" w:rsidRDefault="007657A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sectPr w:rsidR="007657AB">
      <w:pgSz w:w="11906" w:h="16838"/>
      <w:pgMar w:top="1134" w:right="851" w:bottom="1134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D0172"/>
    <w:multiLevelType w:val="multilevel"/>
    <w:tmpl w:val="484D01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66933"/>
    <w:multiLevelType w:val="multilevel"/>
    <w:tmpl w:val="57866933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2160"/>
      </w:pPr>
      <w:rPr>
        <w:rFonts w:hint="default"/>
      </w:rPr>
    </w:lvl>
  </w:abstractNum>
  <w:abstractNum w:abstractNumId="2">
    <w:nsid w:val="6AFC038E"/>
    <w:multiLevelType w:val="multilevel"/>
    <w:tmpl w:val="6AFC03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drawingGridHorizontalSpacing w:val="110"/>
  <w:displayHorizontalDrawingGridEvery w:val="2"/>
  <w:characterSpacingControl w:val="doNotCompress"/>
  <w:compat/>
  <w:rsids>
    <w:rsidRoot w:val="00E62C60"/>
    <w:rsid w:val="000017FF"/>
    <w:rsid w:val="00030B09"/>
    <w:rsid w:val="00033E2E"/>
    <w:rsid w:val="00034725"/>
    <w:rsid w:val="0003720B"/>
    <w:rsid w:val="000466AA"/>
    <w:rsid w:val="000540F7"/>
    <w:rsid w:val="000725D8"/>
    <w:rsid w:val="0007781C"/>
    <w:rsid w:val="00084E1A"/>
    <w:rsid w:val="00096651"/>
    <w:rsid w:val="000B4EBA"/>
    <w:rsid w:val="000C61FC"/>
    <w:rsid w:val="000D0CC7"/>
    <w:rsid w:val="000E710B"/>
    <w:rsid w:val="000F7664"/>
    <w:rsid w:val="000F77BA"/>
    <w:rsid w:val="00101A8D"/>
    <w:rsid w:val="00106A79"/>
    <w:rsid w:val="00122624"/>
    <w:rsid w:val="0014558D"/>
    <w:rsid w:val="00153827"/>
    <w:rsid w:val="001554CF"/>
    <w:rsid w:val="001666D9"/>
    <w:rsid w:val="0016725A"/>
    <w:rsid w:val="001B0249"/>
    <w:rsid w:val="001C38DC"/>
    <w:rsid w:val="001D1F3E"/>
    <w:rsid w:val="001D604E"/>
    <w:rsid w:val="001D68DB"/>
    <w:rsid w:val="001E4AE2"/>
    <w:rsid w:val="001F55CC"/>
    <w:rsid w:val="0020255E"/>
    <w:rsid w:val="00204397"/>
    <w:rsid w:val="00211958"/>
    <w:rsid w:val="00221EC4"/>
    <w:rsid w:val="002244EA"/>
    <w:rsid w:val="002264F7"/>
    <w:rsid w:val="00261AB8"/>
    <w:rsid w:val="00273367"/>
    <w:rsid w:val="0027614B"/>
    <w:rsid w:val="00284C40"/>
    <w:rsid w:val="00287AD8"/>
    <w:rsid w:val="00296229"/>
    <w:rsid w:val="002A0F68"/>
    <w:rsid w:val="002E3963"/>
    <w:rsid w:val="002F1EE6"/>
    <w:rsid w:val="002F5B6E"/>
    <w:rsid w:val="002F62B6"/>
    <w:rsid w:val="00300C77"/>
    <w:rsid w:val="00300E27"/>
    <w:rsid w:val="00305134"/>
    <w:rsid w:val="00323B8B"/>
    <w:rsid w:val="00324143"/>
    <w:rsid w:val="00332B78"/>
    <w:rsid w:val="00340F5E"/>
    <w:rsid w:val="003412FD"/>
    <w:rsid w:val="00364603"/>
    <w:rsid w:val="00367CC3"/>
    <w:rsid w:val="0038102B"/>
    <w:rsid w:val="0038287B"/>
    <w:rsid w:val="00387116"/>
    <w:rsid w:val="003970C9"/>
    <w:rsid w:val="003B751C"/>
    <w:rsid w:val="003C2A88"/>
    <w:rsid w:val="003D4226"/>
    <w:rsid w:val="003D59A9"/>
    <w:rsid w:val="003D6B34"/>
    <w:rsid w:val="003E18BE"/>
    <w:rsid w:val="003E3EA7"/>
    <w:rsid w:val="003F3D8E"/>
    <w:rsid w:val="003F639E"/>
    <w:rsid w:val="00404FF7"/>
    <w:rsid w:val="00414C52"/>
    <w:rsid w:val="004208C6"/>
    <w:rsid w:val="00423A68"/>
    <w:rsid w:val="00431D9F"/>
    <w:rsid w:val="00434B84"/>
    <w:rsid w:val="00440D0B"/>
    <w:rsid w:val="004523AF"/>
    <w:rsid w:val="00453270"/>
    <w:rsid w:val="00460B29"/>
    <w:rsid w:val="00463640"/>
    <w:rsid w:val="00463B62"/>
    <w:rsid w:val="00464704"/>
    <w:rsid w:val="0047064E"/>
    <w:rsid w:val="0047441E"/>
    <w:rsid w:val="004826E3"/>
    <w:rsid w:val="00484503"/>
    <w:rsid w:val="00497A8C"/>
    <w:rsid w:val="004A2498"/>
    <w:rsid w:val="004C702E"/>
    <w:rsid w:val="004D0BB9"/>
    <w:rsid w:val="004D4D62"/>
    <w:rsid w:val="004D68BB"/>
    <w:rsid w:val="004E22FA"/>
    <w:rsid w:val="004E33B2"/>
    <w:rsid w:val="004F2E21"/>
    <w:rsid w:val="00506F98"/>
    <w:rsid w:val="00510AE7"/>
    <w:rsid w:val="00524060"/>
    <w:rsid w:val="00533831"/>
    <w:rsid w:val="00533D51"/>
    <w:rsid w:val="005508E6"/>
    <w:rsid w:val="00551453"/>
    <w:rsid w:val="00560EF2"/>
    <w:rsid w:val="005655C1"/>
    <w:rsid w:val="00571A71"/>
    <w:rsid w:val="00574903"/>
    <w:rsid w:val="005873F1"/>
    <w:rsid w:val="005B4A03"/>
    <w:rsid w:val="005C2AA0"/>
    <w:rsid w:val="005D4EBE"/>
    <w:rsid w:val="005D65F6"/>
    <w:rsid w:val="005E03D7"/>
    <w:rsid w:val="00600DB9"/>
    <w:rsid w:val="00610E40"/>
    <w:rsid w:val="006260CE"/>
    <w:rsid w:val="00654E2C"/>
    <w:rsid w:val="00662C7B"/>
    <w:rsid w:val="00690300"/>
    <w:rsid w:val="006A0644"/>
    <w:rsid w:val="006A1DE1"/>
    <w:rsid w:val="006E1D35"/>
    <w:rsid w:val="006F2662"/>
    <w:rsid w:val="006F443C"/>
    <w:rsid w:val="007003C9"/>
    <w:rsid w:val="0071718C"/>
    <w:rsid w:val="00721EB8"/>
    <w:rsid w:val="00726FF6"/>
    <w:rsid w:val="00742F03"/>
    <w:rsid w:val="00742F35"/>
    <w:rsid w:val="00755B48"/>
    <w:rsid w:val="007657AB"/>
    <w:rsid w:val="00766DD5"/>
    <w:rsid w:val="00786E3E"/>
    <w:rsid w:val="00787C3F"/>
    <w:rsid w:val="007B3B2D"/>
    <w:rsid w:val="007C03C0"/>
    <w:rsid w:val="007C4C44"/>
    <w:rsid w:val="007C7AAE"/>
    <w:rsid w:val="007D53B1"/>
    <w:rsid w:val="007E259B"/>
    <w:rsid w:val="007F283C"/>
    <w:rsid w:val="008116E9"/>
    <w:rsid w:val="008159E3"/>
    <w:rsid w:val="00825176"/>
    <w:rsid w:val="00835D93"/>
    <w:rsid w:val="00846791"/>
    <w:rsid w:val="00847CD7"/>
    <w:rsid w:val="00852F24"/>
    <w:rsid w:val="00864E6E"/>
    <w:rsid w:val="00874256"/>
    <w:rsid w:val="00891647"/>
    <w:rsid w:val="008A5946"/>
    <w:rsid w:val="008B067A"/>
    <w:rsid w:val="008C6935"/>
    <w:rsid w:val="008C7EEB"/>
    <w:rsid w:val="008F28BA"/>
    <w:rsid w:val="008F7E3F"/>
    <w:rsid w:val="00910303"/>
    <w:rsid w:val="0091269D"/>
    <w:rsid w:val="009129B0"/>
    <w:rsid w:val="00915E1A"/>
    <w:rsid w:val="009207AA"/>
    <w:rsid w:val="0092205D"/>
    <w:rsid w:val="00931E87"/>
    <w:rsid w:val="00970087"/>
    <w:rsid w:val="00975544"/>
    <w:rsid w:val="009A6B4A"/>
    <w:rsid w:val="009B18D8"/>
    <w:rsid w:val="009B4A8E"/>
    <w:rsid w:val="009E28CD"/>
    <w:rsid w:val="00A035DA"/>
    <w:rsid w:val="00A07D2C"/>
    <w:rsid w:val="00A12664"/>
    <w:rsid w:val="00A25081"/>
    <w:rsid w:val="00A26D59"/>
    <w:rsid w:val="00A27120"/>
    <w:rsid w:val="00A32D28"/>
    <w:rsid w:val="00A36D8C"/>
    <w:rsid w:val="00A50AD2"/>
    <w:rsid w:val="00A5228B"/>
    <w:rsid w:val="00A608BC"/>
    <w:rsid w:val="00A76AE0"/>
    <w:rsid w:val="00A76ED5"/>
    <w:rsid w:val="00A77B7B"/>
    <w:rsid w:val="00A80CF3"/>
    <w:rsid w:val="00A86194"/>
    <w:rsid w:val="00AA1A35"/>
    <w:rsid w:val="00AB4838"/>
    <w:rsid w:val="00AD0A74"/>
    <w:rsid w:val="00AD2B3F"/>
    <w:rsid w:val="00AE5BF7"/>
    <w:rsid w:val="00AF6BB5"/>
    <w:rsid w:val="00B02E85"/>
    <w:rsid w:val="00B06BB4"/>
    <w:rsid w:val="00B07491"/>
    <w:rsid w:val="00B179B8"/>
    <w:rsid w:val="00B240FF"/>
    <w:rsid w:val="00B2451D"/>
    <w:rsid w:val="00B37552"/>
    <w:rsid w:val="00B436A0"/>
    <w:rsid w:val="00B53396"/>
    <w:rsid w:val="00B73E3B"/>
    <w:rsid w:val="00B7580C"/>
    <w:rsid w:val="00B80E1E"/>
    <w:rsid w:val="00B83425"/>
    <w:rsid w:val="00BA1780"/>
    <w:rsid w:val="00BB2CCD"/>
    <w:rsid w:val="00BB70E6"/>
    <w:rsid w:val="00BC1265"/>
    <w:rsid w:val="00BD6470"/>
    <w:rsid w:val="00BD73BD"/>
    <w:rsid w:val="00BE3043"/>
    <w:rsid w:val="00BF573E"/>
    <w:rsid w:val="00C14DCF"/>
    <w:rsid w:val="00C260AD"/>
    <w:rsid w:val="00C4216C"/>
    <w:rsid w:val="00C45178"/>
    <w:rsid w:val="00C519A8"/>
    <w:rsid w:val="00C519BD"/>
    <w:rsid w:val="00C52E07"/>
    <w:rsid w:val="00C547A6"/>
    <w:rsid w:val="00C565B7"/>
    <w:rsid w:val="00C60E51"/>
    <w:rsid w:val="00C75895"/>
    <w:rsid w:val="00C86B23"/>
    <w:rsid w:val="00C9355D"/>
    <w:rsid w:val="00CC0203"/>
    <w:rsid w:val="00CD0379"/>
    <w:rsid w:val="00CD03B6"/>
    <w:rsid w:val="00CD33D6"/>
    <w:rsid w:val="00CE4CCC"/>
    <w:rsid w:val="00CF2789"/>
    <w:rsid w:val="00CF3A85"/>
    <w:rsid w:val="00D06265"/>
    <w:rsid w:val="00D11F13"/>
    <w:rsid w:val="00D17D65"/>
    <w:rsid w:val="00D21F32"/>
    <w:rsid w:val="00D47278"/>
    <w:rsid w:val="00D60F50"/>
    <w:rsid w:val="00D67057"/>
    <w:rsid w:val="00D72488"/>
    <w:rsid w:val="00D85C70"/>
    <w:rsid w:val="00D92231"/>
    <w:rsid w:val="00DA63FD"/>
    <w:rsid w:val="00DC07DA"/>
    <w:rsid w:val="00DC3407"/>
    <w:rsid w:val="00DE13F9"/>
    <w:rsid w:val="00DE6AF4"/>
    <w:rsid w:val="00DF7988"/>
    <w:rsid w:val="00E00BFF"/>
    <w:rsid w:val="00E03FFB"/>
    <w:rsid w:val="00E05AC8"/>
    <w:rsid w:val="00E12F54"/>
    <w:rsid w:val="00E31C25"/>
    <w:rsid w:val="00E47146"/>
    <w:rsid w:val="00E62C60"/>
    <w:rsid w:val="00E67676"/>
    <w:rsid w:val="00E815A0"/>
    <w:rsid w:val="00E81846"/>
    <w:rsid w:val="00E8492F"/>
    <w:rsid w:val="00E8790E"/>
    <w:rsid w:val="00EA2AB0"/>
    <w:rsid w:val="00EA43A3"/>
    <w:rsid w:val="00EB38BC"/>
    <w:rsid w:val="00EC06FC"/>
    <w:rsid w:val="00EC5963"/>
    <w:rsid w:val="00EC7517"/>
    <w:rsid w:val="00ED4747"/>
    <w:rsid w:val="00EE1EA9"/>
    <w:rsid w:val="00EF50DC"/>
    <w:rsid w:val="00EF7805"/>
    <w:rsid w:val="00F00A80"/>
    <w:rsid w:val="00F01C82"/>
    <w:rsid w:val="00F12FDC"/>
    <w:rsid w:val="00F16CBE"/>
    <w:rsid w:val="00F23D37"/>
    <w:rsid w:val="00F3261D"/>
    <w:rsid w:val="00F659A5"/>
    <w:rsid w:val="00F66621"/>
    <w:rsid w:val="00F7751A"/>
    <w:rsid w:val="00F803F6"/>
    <w:rsid w:val="00F86977"/>
    <w:rsid w:val="00F86F9A"/>
    <w:rsid w:val="00FA5BD4"/>
    <w:rsid w:val="00FB5E32"/>
    <w:rsid w:val="00FF1E49"/>
    <w:rsid w:val="21C81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3">
    <w:name w:val="Body Text Indent 3"/>
    <w:basedOn w:val="a"/>
    <w:link w:val="30"/>
    <w:semiHidden/>
    <w:pPr>
      <w:spacing w:after="0" w:line="240" w:lineRule="auto"/>
      <w:ind w:firstLine="851"/>
    </w:pPr>
    <w:rPr>
      <w:rFonts w:ascii="Times New Roman" w:hAnsi="Times New Roman"/>
      <w:sz w:val="28"/>
      <w:szCs w:val="20"/>
      <w:lang/>
    </w:rPr>
  </w:style>
  <w:style w:type="character" w:customStyle="1" w:styleId="30">
    <w:name w:val="Основной текст с отступом 3 Знак"/>
    <w:link w:val="3"/>
    <w:semiHidden/>
    <w:rPr>
      <w:rFonts w:ascii="Times New Roman" w:hAnsi="Times New Roman"/>
      <w:sz w:val="28"/>
    </w:r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pPr>
      <w:spacing w:after="0" w:line="240" w:lineRule="auto"/>
      <w:ind w:left="720"/>
      <w:contextualSpacing/>
      <w:jc w:val="both"/>
    </w:pPr>
    <w:rPr>
      <w:rFonts w:ascii="Arial" w:eastAsia="Calibri" w:hAnsi="Arial"/>
      <w:sz w:val="24"/>
      <w:lang w:eastAsia="en-US"/>
    </w:rPr>
  </w:style>
  <w:style w:type="paragraph" w:styleId="a6">
    <w:name w:val="No Spacing"/>
    <w:uiPriority w:val="1"/>
    <w:qFormat/>
    <w:rPr>
      <w:sz w:val="22"/>
      <w:szCs w:val="22"/>
    </w:rPr>
  </w:style>
  <w:style w:type="paragraph" w:customStyle="1" w:styleId="Style1">
    <w:name w:val="Style1"/>
    <w:basedOn w:val="a"/>
    <w:uiPriority w:val="99"/>
    <w:pPr>
      <w:widowControl w:val="0"/>
      <w:autoSpaceDE w:val="0"/>
      <w:autoSpaceDN w:val="0"/>
      <w:adjustRightInd w:val="0"/>
      <w:spacing w:after="0" w:line="324" w:lineRule="exact"/>
      <w:ind w:firstLine="713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after="0" w:line="317" w:lineRule="exact"/>
      <w:ind w:firstLine="706"/>
      <w:jc w:val="both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26"/>
      <w:szCs w:val="26"/>
    </w:rPr>
  </w:style>
  <w:style w:type="character" w:customStyle="1" w:styleId="6">
    <w:name w:val="Основной текст (6)_"/>
    <w:link w:val="60"/>
    <w:rPr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540" w:line="0" w:lineRule="atLeast"/>
    </w:pPr>
    <w:rPr>
      <w:sz w:val="27"/>
      <w:szCs w:val="27"/>
      <w:lang/>
    </w:rPr>
  </w:style>
  <w:style w:type="paragraph" w:customStyle="1" w:styleId="Style7">
    <w:name w:val="Style7"/>
    <w:basedOn w:val="a"/>
    <w:uiPriority w:val="99"/>
    <w:pPr>
      <w:widowControl w:val="0"/>
      <w:autoSpaceDE w:val="0"/>
      <w:autoSpaceDN w:val="0"/>
      <w:adjustRightInd w:val="0"/>
      <w:spacing w:after="0" w:line="317" w:lineRule="exact"/>
      <w:ind w:firstLine="554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autoSpaceDE w:val="0"/>
      <w:autoSpaceDN w:val="0"/>
      <w:adjustRightInd w:val="0"/>
      <w:spacing w:after="0" w:line="317" w:lineRule="exact"/>
      <w:ind w:firstLine="1418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0B4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4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D8435A533D1F56129FFC560B3CE582D00534BF4CA53A4CB93182180BEM761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Links>
    <vt:vector size="6" baseType="variant">
      <vt:variant>
        <vt:i4>4718687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consultantplus://offline/ref=4D8435A533D1F56129FFC560B3CE582D00534BF4CA53A4CB93182180BEM761J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SHAMANAEVA</cp:lastModifiedBy>
  <cp:revision>2</cp:revision>
  <cp:lastPrinted>2025-11-17T01:21:00Z</cp:lastPrinted>
  <dcterms:created xsi:type="dcterms:W3CDTF">2025-11-17T04:29:00Z</dcterms:created>
  <dcterms:modified xsi:type="dcterms:W3CDTF">2025-11-17T04:29:00Z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425FEC8E7A7A4405AFAC4C2CD9A5E4BF_12</vt:lpwstr>
  </property>
</Properties>
</file>